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6"/>
      </w:tblGrid>
      <w:tr w:rsidR="00894FC0" w14:paraId="4BB2E13B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FEDEB8" w14:textId="77777777" w:rsidR="00894FC0" w:rsidRDefault="00894FC0">
            <w:pPr>
              <w:rPr>
                <w:rFonts w:eastAsia="Times New Roman"/>
              </w:rPr>
            </w:pPr>
          </w:p>
        </w:tc>
      </w:tr>
      <w:tr w:rsidR="00894FC0" w14:paraId="0C898566" w14:textId="77777777">
        <w:trPr>
          <w:tblCellSpacing w:w="0" w:type="dxa"/>
          <w:jc w:val="center"/>
        </w:trPr>
        <w:tc>
          <w:tcPr>
            <w:tcW w:w="0" w:type="auto"/>
            <w:hideMark/>
          </w:tcPr>
          <w:p w14:paraId="28776A9A" w14:textId="77777777" w:rsidR="00894FC0" w:rsidRDefault="00F72ABD">
            <w:pPr>
              <w:pStyle w:val="NormalWeb"/>
              <w:jc w:val="center"/>
            </w:pPr>
            <w:r>
              <w:t> </w:t>
            </w:r>
          </w:p>
          <w:tbl>
            <w:tblPr>
              <w:tblW w:w="1081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6"/>
            </w:tblGrid>
            <w:tr w:rsidR="00894FC0" w14:paraId="50C38B31" w14:textId="77777777" w:rsidTr="001038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416B71" w14:textId="77777777" w:rsidR="00894FC0" w:rsidRDefault="00894FC0">
                  <w:pPr>
                    <w:rPr>
                      <w:rFonts w:eastAsia="Times New Roman"/>
                    </w:rPr>
                  </w:pPr>
                </w:p>
              </w:tc>
            </w:tr>
            <w:tr w:rsidR="00894FC0" w14:paraId="0B4F8076" w14:textId="77777777" w:rsidTr="0010382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0800" w:type="dxa"/>
                    <w:tblCellSpacing w:w="7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45"/>
                    <w:gridCol w:w="4755"/>
                  </w:tblGrid>
                  <w:tr w:rsidR="00894FC0" w:rsidRPr="00BA5ABF" w14:paraId="66E9A58B" w14:textId="77777777">
                    <w:trPr>
                      <w:tblCellSpacing w:w="7" w:type="dxa"/>
                    </w:trPr>
                    <w:tc>
                      <w:tcPr>
                        <w:tcW w:w="28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78BFB907" w14:textId="6D915C0D" w:rsidR="00894FC0" w:rsidRPr="00197C9F" w:rsidRDefault="00E51AF2" w:rsidP="00E51AF2">
                        <w:pPr>
                          <w:pStyle w:val="NormalWeb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51AF2">
                          <w:rPr>
                            <w:rFonts w:ascii="Arial" w:hAnsi="Arial" w:cs="Arial"/>
                            <w:b/>
                            <w:bCs/>
                          </w:rPr>
                          <w:t>EES POLICY NO.</w:t>
                        </w:r>
                        <w:r w:rsidR="00197C9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23-0</w:t>
                        </w:r>
                        <w:r w:rsidR="00442AC3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 w:rsidR="00197C9F">
                          <w:rPr>
                            <w:rFonts w:ascii="Arial" w:hAnsi="Arial" w:cs="Arial"/>
                            <w:b/>
                            <w:bCs/>
                          </w:rPr>
                          <w:t>-0</w:t>
                        </w:r>
                        <w:r w:rsidR="00442AC3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6E2A46C3" w14:textId="63EF3E07" w:rsidR="00894FC0" w:rsidRPr="00BA5ABF" w:rsidRDefault="00F72ABD" w:rsidP="008E3CFD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RE:</w:t>
                        </w:r>
                        <w:r w:rsidR="003A2961">
                          <w:t xml:space="preserve"> </w:t>
                        </w:r>
                        <w:r w:rsidR="00197C9F">
                          <w:rPr>
                            <w:rStyle w:val="Strong"/>
                            <w:rFonts w:ascii="Arial" w:hAnsi="Arial" w:cs="Arial"/>
                          </w:rPr>
                          <w:t>C</w:t>
                        </w:r>
                        <w:r w:rsidR="00197C9F">
                          <w:rPr>
                            <w:rStyle w:val="Strong"/>
                          </w:rPr>
                          <w:t>hild Care P-EBT School Year (SY) 2022-2023</w:t>
                        </w:r>
                      </w:p>
                    </w:tc>
                  </w:tr>
                  <w:tr w:rsidR="00894FC0" w:rsidRPr="00BA5ABF" w14:paraId="14E69881" w14:textId="77777777">
                    <w:trPr>
                      <w:trHeight w:val="540"/>
                      <w:tblCellSpacing w:w="7" w:type="dxa"/>
                    </w:trPr>
                    <w:tc>
                      <w:tcPr>
                        <w:tcW w:w="28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2C80A555" w14:textId="77777777" w:rsidR="00894FC0" w:rsidRPr="00BA5ABF" w:rsidRDefault="00F72ABD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Fonts w:ascii="Arial" w:hAnsi="Arial" w:cs="Arial"/>
                            <w:b/>
                            <w:bCs/>
                          </w:rPr>
                          <w:t>P</w:t>
                        </w:r>
                        <w:r w:rsidR="00F31074" w:rsidRPr="00BA5ABF">
                          <w:rPr>
                            <w:rFonts w:ascii="Arial" w:hAnsi="Arial" w:cs="Arial"/>
                            <w:b/>
                            <w:bCs/>
                          </w:rPr>
                          <w:t>olicy</w:t>
                        </w:r>
                        <w:r w:rsidRPr="00BA5AB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M</w:t>
                        </w:r>
                        <w:r w:rsidR="00F31074" w:rsidRPr="00BA5ABF">
                          <w:rPr>
                            <w:rFonts w:ascii="Arial" w:hAnsi="Arial" w:cs="Arial"/>
                            <w:b/>
                            <w:bCs/>
                          </w:rPr>
                          <w:t>emo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E536D91" w14:textId="1B0E3662" w:rsidR="00894FC0" w:rsidRPr="00F92B01" w:rsidRDefault="00F72ABD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 xml:space="preserve">Contact Persons: </w:t>
                        </w:r>
                        <w:r w:rsidR="00197C9F">
                          <w:rPr>
                            <w:rStyle w:val="Strong"/>
                            <w:rFonts w:ascii="Arial" w:hAnsi="Arial" w:cs="Arial"/>
                          </w:rPr>
                          <w:t xml:space="preserve">Sarah van Straaten </w:t>
                        </w:r>
                      </w:p>
                      <w:p w14:paraId="419F3CA7" w14:textId="77777777" w:rsidR="00894FC0" w:rsidRPr="00BA5ABF" w:rsidRDefault="00894FC0" w:rsidP="00A02AE8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894FC0" w:rsidRPr="00BA5ABF" w14:paraId="4C028426" w14:textId="77777777">
                    <w:trPr>
                      <w:tblCellSpacing w:w="7" w:type="dxa"/>
                    </w:trPr>
                    <w:tc>
                      <w:tcPr>
                        <w:tcW w:w="28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14:paraId="6D754B6D" w14:textId="338ED5B3" w:rsidR="00894FC0" w:rsidRPr="00BA5ABF" w:rsidRDefault="00F72ABD" w:rsidP="00F31074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F</w:t>
                        </w:r>
                        <w:r w:rsidR="00F31074" w:rsidRPr="00BA5ABF">
                          <w:rPr>
                            <w:rStyle w:val="Strong"/>
                            <w:rFonts w:ascii="Arial" w:hAnsi="Arial" w:cs="Arial"/>
                          </w:rPr>
                          <w:t>rom</w:t>
                        </w: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:</w:t>
                        </w:r>
                        <w:r w:rsidRPr="00BA5ABF">
                          <w:rPr>
                            <w:rFonts w:ascii="Arial" w:hAnsi="Arial" w:cs="Arial"/>
                          </w:rPr>
                          <w:t>  </w:t>
                        </w:r>
                        <w:r w:rsidR="00197C9F">
                          <w:rPr>
                            <w:rFonts w:ascii="Arial" w:hAnsi="Arial" w:cs="Arial"/>
                          </w:rPr>
                          <w:t>Carla Whiteside-Hicks, PhD, EES Director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14:paraId="47DB8823" w14:textId="3C65956B" w:rsidR="00894FC0" w:rsidRPr="00BA5ABF" w:rsidRDefault="008C18CD" w:rsidP="008C18CD">
                        <w:p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 w:rsidRPr="00BA5ABF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KEESM Reference:</w:t>
                        </w:r>
                        <w:r w:rsidRPr="00BA5ABF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</w:p>
                    </w:tc>
                  </w:tr>
                  <w:tr w:rsidR="00894FC0" w:rsidRPr="00BA5ABF" w14:paraId="0201B81C" w14:textId="77777777">
                    <w:trPr>
                      <w:tblCellSpacing w:w="7" w:type="dxa"/>
                    </w:trPr>
                    <w:tc>
                      <w:tcPr>
                        <w:tcW w:w="28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794930E" w14:textId="325FA75F" w:rsidR="00894FC0" w:rsidRPr="00BA5ABF" w:rsidRDefault="00F72ABD" w:rsidP="00F31074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D</w:t>
                        </w:r>
                        <w:r w:rsidR="00F31074" w:rsidRPr="00BA5ABF">
                          <w:rPr>
                            <w:rStyle w:val="Strong"/>
                            <w:rFonts w:ascii="Arial" w:hAnsi="Arial" w:cs="Arial"/>
                          </w:rPr>
                          <w:t>ate</w:t>
                        </w: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:</w:t>
                        </w:r>
                        <w:r w:rsidRPr="00BA5ABF">
                          <w:rPr>
                            <w:rFonts w:ascii="Arial" w:hAnsi="Arial" w:cs="Arial"/>
                          </w:rPr>
                          <w:t xml:space="preserve">  </w:t>
                        </w:r>
                        <w:r w:rsidR="00197C9F">
                          <w:rPr>
                            <w:rFonts w:ascii="Arial" w:hAnsi="Arial" w:cs="Arial"/>
                          </w:rPr>
                          <w:t>July 24, 2023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9DA2D1E" w14:textId="77777777" w:rsidR="00894FC0" w:rsidRPr="00BA5ABF" w:rsidRDefault="00F72ABD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Fonts w:ascii="Arial" w:hAnsi="Arial" w:cs="Arial"/>
                          </w:rPr>
                          <w:t> </w:t>
                        </w: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Other:</w:t>
                        </w:r>
                      </w:p>
                    </w:tc>
                  </w:tr>
                  <w:tr w:rsidR="00894FC0" w:rsidRPr="00BA5ABF" w14:paraId="262F1488" w14:textId="77777777">
                    <w:trPr>
                      <w:trHeight w:val="675"/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700C658" w14:textId="494DC6DC" w:rsidR="00894FC0" w:rsidRPr="00BA5ABF" w:rsidRDefault="00F72ABD" w:rsidP="00A02AE8">
                        <w:pPr>
                          <w:pStyle w:val="style1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Primary DCF Areas Affected:</w:t>
                        </w:r>
                        <w:r w:rsidR="00152047">
                          <w:rPr>
                            <w:rStyle w:val="Strong"/>
                            <w:rFonts w:ascii="Arial" w:hAnsi="Arial" w:cs="Arial"/>
                          </w:rPr>
                          <w:t xml:space="preserve"> </w:t>
                        </w:r>
                        <w:r w:rsidR="00152047" w:rsidRPr="00152047">
                          <w:rPr>
                            <w:rStyle w:val="Strong"/>
                            <w:rFonts w:ascii="Arial" w:hAnsi="Arial" w:cs="Arial"/>
                            <w:b w:val="0"/>
                            <w:bCs w:val="0"/>
                          </w:rPr>
                          <w:t>EES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13C5CBFB" w14:textId="77777777" w:rsidR="00894FC0" w:rsidRPr="00BA5ABF" w:rsidRDefault="00F72ABD">
                        <w:pPr>
                          <w:pStyle w:val="NormalWeb"/>
                          <w:rPr>
                            <w:rFonts w:ascii="Arial" w:hAnsi="Arial" w:cs="Arial"/>
                          </w:rPr>
                        </w:pPr>
                        <w:r w:rsidRPr="00BA5ABF">
                          <w:rPr>
                            <w:rStyle w:val="Strong"/>
                            <w:rFonts w:ascii="Arial" w:hAnsi="Arial" w:cs="Arial"/>
                          </w:rPr>
                          <w:t>Where Posted on Web:</w:t>
                        </w:r>
                        <w:r w:rsidRPr="00BA5ABF">
                          <w:rPr>
                            <w:rFonts w:ascii="Arial" w:hAnsi="Arial" w:cs="Arial"/>
                          </w:rPr>
                          <w:t xml:space="preserve"> </w:t>
                        </w:r>
                        <w:hyperlink r:id="rId11" w:history="1">
                          <w:r w:rsidRPr="00BA5ABF">
                            <w:rPr>
                              <w:rStyle w:val="Hyperlink"/>
                              <w:rFonts w:ascii="Arial" w:hAnsi="Arial" w:cs="Arial"/>
                            </w:rPr>
                            <w:t>http://content.dcf.ks.gov/ees/KEESM/</w:t>
                          </w:r>
                          <w:r w:rsidRPr="00BA5ABF">
                            <w:rPr>
                              <w:rFonts w:ascii="Arial" w:hAnsi="Arial" w:cs="Arial"/>
                              <w:color w:val="0000FF"/>
                              <w:u w:val="single"/>
                            </w:rPr>
                            <w:br/>
                          </w:r>
                          <w:proofErr w:type="spellStart"/>
                          <w:r w:rsidRPr="00BA5ABF">
                            <w:rPr>
                              <w:rStyle w:val="Hyperlink"/>
                              <w:rFonts w:ascii="Arial" w:hAnsi="Arial" w:cs="Arial"/>
                            </w:rPr>
                            <w:t>Policy_Memo</w:t>
                          </w:r>
                          <w:proofErr w:type="spellEnd"/>
                          <w:r w:rsidRPr="00BA5ABF">
                            <w:rPr>
                              <w:rStyle w:val="Hyperlink"/>
                              <w:rFonts w:ascii="Arial" w:hAnsi="Arial" w:cs="Arial"/>
                            </w:rPr>
                            <w:t>/policy_memo_list.htm</w:t>
                          </w:r>
                        </w:hyperlink>
                      </w:p>
                    </w:tc>
                  </w:tr>
                </w:tbl>
                <w:p w14:paraId="77336FA8" w14:textId="77777777" w:rsidR="00894FC0" w:rsidRDefault="00F72ABD">
                  <w:pPr>
                    <w:pStyle w:val="NormalWeb"/>
                  </w:pPr>
                  <w:r>
                    <w:t> </w:t>
                  </w:r>
                </w:p>
              </w:tc>
            </w:tr>
          </w:tbl>
          <w:p w14:paraId="03FFEF3C" w14:textId="77777777" w:rsidR="00894FC0" w:rsidRDefault="00894FC0">
            <w:pPr>
              <w:rPr>
                <w:rFonts w:eastAsia="Times New Roman"/>
              </w:rPr>
            </w:pPr>
          </w:p>
        </w:tc>
      </w:tr>
    </w:tbl>
    <w:p w14:paraId="38CF4A32" w14:textId="4397077B" w:rsidR="00103826" w:rsidRDefault="00197C9F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The Continuing Appropriations Act, 2021 and Other Extensions Act extends Pandemic EBT (P-EBT) through School Year (SY) 2022-2023.  The Act includes P-EBT benefits for </w:t>
      </w:r>
      <w:r w:rsidR="00443799">
        <w:rPr>
          <w:rFonts w:eastAsia="Times New Roman"/>
          <w:color w:val="auto"/>
        </w:rPr>
        <w:t>a child</w:t>
      </w:r>
      <w:r>
        <w:rPr>
          <w:rFonts w:eastAsia="Times New Roman"/>
          <w:color w:val="auto"/>
        </w:rPr>
        <w:t xml:space="preserve"> under the age of 6 who </w:t>
      </w:r>
      <w:r w:rsidR="00E30E44">
        <w:rPr>
          <w:rFonts w:eastAsia="Times New Roman"/>
          <w:color w:val="auto"/>
        </w:rPr>
        <w:t>was</w:t>
      </w:r>
      <w:r>
        <w:rPr>
          <w:rFonts w:eastAsia="Times New Roman"/>
          <w:color w:val="auto"/>
        </w:rPr>
        <w:t xml:space="preserve"> an active member of a household receiving SNAP benefits</w:t>
      </w:r>
      <w:r w:rsidR="00E30E44">
        <w:rPr>
          <w:rFonts w:eastAsia="Times New Roman"/>
          <w:color w:val="auto"/>
        </w:rPr>
        <w:t xml:space="preserve"> in any month from </w:t>
      </w:r>
      <w:r w:rsidR="00D66DF4">
        <w:rPr>
          <w:rFonts w:eastAsia="Times New Roman"/>
          <w:color w:val="auto"/>
        </w:rPr>
        <w:t>August</w:t>
      </w:r>
      <w:r w:rsidR="00E30E44">
        <w:rPr>
          <w:rFonts w:eastAsia="Times New Roman"/>
          <w:color w:val="auto"/>
        </w:rPr>
        <w:t xml:space="preserve"> 1, 2022 – May 11, 2023</w:t>
      </w:r>
      <w:r>
        <w:rPr>
          <w:rFonts w:eastAsia="Times New Roman"/>
          <w:color w:val="auto"/>
        </w:rPr>
        <w:t xml:space="preserve">. </w:t>
      </w:r>
      <w:r w:rsidR="002F4889">
        <w:rPr>
          <w:rFonts w:eastAsia="Times New Roman"/>
          <w:color w:val="auto"/>
        </w:rPr>
        <w:t xml:space="preserve">For the month of May 2023, a child would have to have been eligible for SNAP benefits anytime between May 1, 2023 – May 11, 2023.  If </w:t>
      </w:r>
      <w:r w:rsidR="00443799">
        <w:rPr>
          <w:rFonts w:eastAsia="Times New Roman"/>
          <w:color w:val="auto"/>
        </w:rPr>
        <w:t xml:space="preserve">a </w:t>
      </w:r>
      <w:r w:rsidR="002F4889">
        <w:rPr>
          <w:rFonts w:eastAsia="Times New Roman"/>
          <w:color w:val="auto"/>
        </w:rPr>
        <w:t xml:space="preserve">child was found eligible May 12, </w:t>
      </w:r>
      <w:r w:rsidR="00EF65B2">
        <w:rPr>
          <w:rFonts w:eastAsia="Times New Roman"/>
          <w:color w:val="auto"/>
        </w:rPr>
        <w:t>202</w:t>
      </w:r>
      <w:r w:rsidR="00443799">
        <w:rPr>
          <w:rFonts w:eastAsia="Times New Roman"/>
          <w:color w:val="auto"/>
        </w:rPr>
        <w:t xml:space="preserve">3 </w:t>
      </w:r>
      <w:r w:rsidR="002F4889">
        <w:rPr>
          <w:rFonts w:eastAsia="Times New Roman"/>
          <w:color w:val="auto"/>
        </w:rPr>
        <w:t>and after</w:t>
      </w:r>
      <w:r w:rsidR="00443799">
        <w:rPr>
          <w:rFonts w:eastAsia="Times New Roman"/>
          <w:color w:val="auto"/>
        </w:rPr>
        <w:t>, that child</w:t>
      </w:r>
      <w:r w:rsidR="002F4889">
        <w:rPr>
          <w:rFonts w:eastAsia="Times New Roman"/>
          <w:color w:val="auto"/>
        </w:rPr>
        <w:t xml:space="preserve"> would not be eligible for the May benefit. </w:t>
      </w:r>
      <w:r w:rsidR="00EF65B2">
        <w:rPr>
          <w:rFonts w:eastAsia="Times New Roman"/>
          <w:color w:val="auto"/>
        </w:rPr>
        <w:t xml:space="preserve">All Child Care P-EBT benefits must be issued no later than September 30, 2023.  No Child Care P-EBT benefits will be issued after the September 30, 2023 deadline. </w:t>
      </w:r>
    </w:p>
    <w:p w14:paraId="5C4043BC" w14:textId="28737710" w:rsidR="00E30E44" w:rsidRDefault="00E30E44">
      <w:pPr>
        <w:rPr>
          <w:rFonts w:eastAsia="Times New Roman"/>
          <w:color w:val="auto"/>
        </w:rPr>
      </w:pPr>
    </w:p>
    <w:p w14:paraId="70AB6CA3" w14:textId="278368CB" w:rsidR="00E30E44" w:rsidRPr="00E30E44" w:rsidRDefault="00E30E44">
      <w:pPr>
        <w:rPr>
          <w:rFonts w:eastAsia="Times New Roman"/>
          <w:b/>
          <w:bCs/>
          <w:color w:val="auto"/>
          <w:sz w:val="28"/>
          <w:szCs w:val="28"/>
        </w:rPr>
      </w:pPr>
      <w:r w:rsidRPr="00E30E44">
        <w:rPr>
          <w:rFonts w:eastAsia="Times New Roman"/>
          <w:b/>
          <w:bCs/>
          <w:color w:val="auto"/>
          <w:sz w:val="28"/>
          <w:szCs w:val="28"/>
        </w:rPr>
        <w:t xml:space="preserve">Child Care P-EBT Eligibility – </w:t>
      </w:r>
    </w:p>
    <w:p w14:paraId="0BFA4F4B" w14:textId="7757ECEA" w:rsidR="00E30E44" w:rsidRDefault="00E30E44">
      <w:pPr>
        <w:rPr>
          <w:rFonts w:eastAsia="Times New Roman"/>
          <w:color w:val="auto"/>
        </w:rPr>
      </w:pPr>
    </w:p>
    <w:p w14:paraId="0328BD8E" w14:textId="74FE363C" w:rsidR="00E30E44" w:rsidRDefault="00E30E44" w:rsidP="00E30E44">
      <w:pPr>
        <w:pStyle w:val="ListParagraph"/>
        <w:numPr>
          <w:ilvl w:val="0"/>
          <w:numId w:val="1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The child is a member of a household that is enrolled in SNAP in the benefit month.</w:t>
      </w:r>
    </w:p>
    <w:p w14:paraId="577384C5" w14:textId="69388B1F" w:rsidR="00E30E44" w:rsidRDefault="00E30E44" w:rsidP="00E30E44">
      <w:pPr>
        <w:pStyle w:val="ListParagraph"/>
        <w:numPr>
          <w:ilvl w:val="0"/>
          <w:numId w:val="1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The child is enrolled in a covered childcare facility (NOTE: Under FFCRA, USDA deems all children under the age of 6 to be enrolled in a covered childcare facility).</w:t>
      </w:r>
    </w:p>
    <w:p w14:paraId="1795DB23" w14:textId="65B4BB13" w:rsidR="00E30E44" w:rsidRDefault="00E30E44" w:rsidP="00E30E44">
      <w:pPr>
        <w:rPr>
          <w:rFonts w:eastAsia="Times New Roman"/>
          <w:color w:val="auto"/>
        </w:rPr>
      </w:pPr>
    </w:p>
    <w:p w14:paraId="1AE2CEF8" w14:textId="77777777" w:rsidR="00781700" w:rsidRDefault="00E30E44" w:rsidP="00E30E44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NOTE: DCF cannot issue Child Care P-EBT benefits for any month that the child did not receive food assistance.  </w:t>
      </w:r>
    </w:p>
    <w:p w14:paraId="253D226F" w14:textId="77777777" w:rsidR="00781700" w:rsidRDefault="00781700" w:rsidP="00E30E44">
      <w:pPr>
        <w:rPr>
          <w:rFonts w:eastAsia="Times New Roman"/>
          <w:color w:val="auto"/>
        </w:rPr>
      </w:pPr>
    </w:p>
    <w:p w14:paraId="3B208570" w14:textId="47BDFAB8" w:rsidR="00D66DF4" w:rsidRDefault="00E30E44" w:rsidP="00E30E44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Child Care P-EBT benefits for children under age 6 </w:t>
      </w:r>
      <w:r w:rsidR="00521685">
        <w:rPr>
          <w:rFonts w:eastAsia="Times New Roman"/>
          <w:color w:val="auto"/>
        </w:rPr>
        <w:t>as of August 1, 2022,</w:t>
      </w:r>
      <w:r>
        <w:rPr>
          <w:rFonts w:eastAsia="Times New Roman"/>
          <w:color w:val="auto"/>
        </w:rPr>
        <w:t xml:space="preserve"> will be issued </w:t>
      </w:r>
      <w:r w:rsidR="00D2709B">
        <w:rPr>
          <w:rFonts w:eastAsia="Times New Roman"/>
          <w:color w:val="auto"/>
        </w:rPr>
        <w:t>automatically to eligible children</w:t>
      </w:r>
      <w:r w:rsidR="00781700">
        <w:rPr>
          <w:rFonts w:eastAsia="Times New Roman"/>
          <w:color w:val="auto"/>
        </w:rPr>
        <w:t>.</w:t>
      </w:r>
      <w:r w:rsidR="00D2709B">
        <w:rPr>
          <w:rFonts w:eastAsia="Times New Roman"/>
          <w:color w:val="auto"/>
        </w:rPr>
        <w:t xml:space="preserve">  DCF will identify children under the age of 6 </w:t>
      </w:r>
      <w:r w:rsidR="00443799">
        <w:rPr>
          <w:rFonts w:eastAsia="Times New Roman"/>
          <w:color w:val="auto"/>
        </w:rPr>
        <w:t xml:space="preserve">who </w:t>
      </w:r>
      <w:r w:rsidR="00D2709B">
        <w:rPr>
          <w:rFonts w:eastAsia="Times New Roman"/>
          <w:color w:val="auto"/>
        </w:rPr>
        <w:t>received food assistance benefits in any of the months from August 1, 2022 – May 11, 2023 and will issue a one-time payment.</w:t>
      </w:r>
      <w:r w:rsidR="00781700">
        <w:rPr>
          <w:rFonts w:eastAsia="Times New Roman"/>
          <w:color w:val="auto"/>
        </w:rPr>
        <w:t xml:space="preserve">  Those </w:t>
      </w:r>
      <w:r w:rsidR="00443799">
        <w:rPr>
          <w:rFonts w:eastAsia="Times New Roman"/>
          <w:color w:val="auto"/>
        </w:rPr>
        <w:t xml:space="preserve">benefits </w:t>
      </w:r>
      <w:r w:rsidR="00781700">
        <w:rPr>
          <w:rFonts w:eastAsia="Times New Roman"/>
          <w:color w:val="auto"/>
        </w:rPr>
        <w:t xml:space="preserve">that were unable to be issued </w:t>
      </w:r>
      <w:r w:rsidR="00D2709B">
        <w:rPr>
          <w:rFonts w:eastAsia="Times New Roman"/>
          <w:color w:val="auto"/>
        </w:rPr>
        <w:t>automatically</w:t>
      </w:r>
      <w:r w:rsidR="00781700">
        <w:rPr>
          <w:rFonts w:eastAsia="Times New Roman"/>
          <w:color w:val="auto"/>
        </w:rPr>
        <w:t xml:space="preserve"> will be worked manually by reports.  There will be no application process needed</w:t>
      </w:r>
      <w:r w:rsidR="006E2B35">
        <w:rPr>
          <w:rFonts w:eastAsia="Times New Roman"/>
          <w:color w:val="auto"/>
        </w:rPr>
        <w:t xml:space="preserve"> or available.  </w:t>
      </w:r>
    </w:p>
    <w:p w14:paraId="00DBF690" w14:textId="77777777" w:rsidR="00D66DF4" w:rsidRDefault="00D66DF4" w:rsidP="00E30E44">
      <w:pPr>
        <w:rPr>
          <w:rFonts w:eastAsia="Times New Roman"/>
          <w:color w:val="auto"/>
        </w:rPr>
      </w:pPr>
    </w:p>
    <w:p w14:paraId="682309C2" w14:textId="77777777" w:rsidR="00EF65B2" w:rsidRDefault="00EF65B2" w:rsidP="00E30E44">
      <w:pPr>
        <w:rPr>
          <w:rFonts w:eastAsia="Times New Roman"/>
          <w:b/>
          <w:bCs/>
          <w:color w:val="auto"/>
          <w:sz w:val="28"/>
          <w:szCs w:val="28"/>
        </w:rPr>
      </w:pPr>
    </w:p>
    <w:p w14:paraId="0ACD7EBD" w14:textId="77777777" w:rsidR="00EF65B2" w:rsidRDefault="00EF65B2" w:rsidP="00E30E44">
      <w:pPr>
        <w:rPr>
          <w:rFonts w:eastAsia="Times New Roman"/>
          <w:b/>
          <w:bCs/>
          <w:color w:val="auto"/>
          <w:sz w:val="28"/>
          <w:szCs w:val="28"/>
        </w:rPr>
      </w:pPr>
    </w:p>
    <w:p w14:paraId="445A9F74" w14:textId="77777777" w:rsidR="00EF65B2" w:rsidRDefault="00EF65B2" w:rsidP="00E30E44">
      <w:pPr>
        <w:rPr>
          <w:rFonts w:eastAsia="Times New Roman"/>
          <w:b/>
          <w:bCs/>
          <w:color w:val="auto"/>
          <w:sz w:val="28"/>
          <w:szCs w:val="28"/>
        </w:rPr>
      </w:pPr>
    </w:p>
    <w:p w14:paraId="26E3E490" w14:textId="77777777" w:rsidR="00EF65B2" w:rsidRDefault="00EF65B2" w:rsidP="00E30E44">
      <w:pPr>
        <w:rPr>
          <w:rFonts w:eastAsia="Times New Roman"/>
          <w:b/>
          <w:bCs/>
          <w:color w:val="auto"/>
          <w:sz w:val="28"/>
          <w:szCs w:val="28"/>
        </w:rPr>
      </w:pPr>
    </w:p>
    <w:p w14:paraId="3E5841BA" w14:textId="63A4086B" w:rsidR="00D66DF4" w:rsidRPr="00D66DF4" w:rsidRDefault="00D66DF4" w:rsidP="00E30E44">
      <w:pPr>
        <w:rPr>
          <w:rFonts w:eastAsia="Times New Roman"/>
          <w:b/>
          <w:bCs/>
          <w:color w:val="auto"/>
          <w:sz w:val="28"/>
          <w:szCs w:val="28"/>
        </w:rPr>
      </w:pPr>
      <w:r w:rsidRPr="00D66DF4">
        <w:rPr>
          <w:rFonts w:eastAsia="Times New Roman"/>
          <w:b/>
          <w:bCs/>
          <w:color w:val="auto"/>
          <w:sz w:val="28"/>
          <w:szCs w:val="28"/>
        </w:rPr>
        <w:t xml:space="preserve">Benefit Levels – </w:t>
      </w:r>
    </w:p>
    <w:p w14:paraId="2FEF974D" w14:textId="77777777" w:rsidR="00D66DF4" w:rsidRDefault="00D66DF4" w:rsidP="00E30E44">
      <w:pPr>
        <w:rPr>
          <w:rFonts w:eastAsia="Times New Roman"/>
          <w:color w:val="auto"/>
        </w:rPr>
      </w:pPr>
    </w:p>
    <w:p w14:paraId="6179AA6E" w14:textId="5DC33A5C" w:rsidR="00E30E44" w:rsidRDefault="00781700" w:rsidP="00E30E44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D66DF4">
        <w:rPr>
          <w:rFonts w:eastAsia="Times New Roman"/>
          <w:color w:val="auto"/>
        </w:rPr>
        <w:t>Monthly Child Care P-EBT benefits set by the state as follows:</w:t>
      </w:r>
    </w:p>
    <w:p w14:paraId="25A2C97E" w14:textId="7118BA17" w:rsidR="00D66DF4" w:rsidRDefault="00D66DF4" w:rsidP="00E30E44">
      <w:pPr>
        <w:rPr>
          <w:rFonts w:eastAsia="Times New Roman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DF4" w14:paraId="00135468" w14:textId="77777777" w:rsidTr="000B1E2D">
        <w:tc>
          <w:tcPr>
            <w:tcW w:w="4675" w:type="dxa"/>
            <w:shd w:val="clear" w:color="auto" w:fill="948A54" w:themeFill="background2" w:themeFillShade="80"/>
          </w:tcPr>
          <w:p w14:paraId="123664CD" w14:textId="5F58E2BD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Month</w:t>
            </w:r>
          </w:p>
        </w:tc>
        <w:tc>
          <w:tcPr>
            <w:tcW w:w="4675" w:type="dxa"/>
            <w:shd w:val="clear" w:color="auto" w:fill="948A54" w:themeFill="background2" w:themeFillShade="80"/>
          </w:tcPr>
          <w:p w14:paraId="4BC5D899" w14:textId="64C5FA05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Monthly Benefit</w:t>
            </w:r>
          </w:p>
        </w:tc>
      </w:tr>
      <w:tr w:rsidR="00D66DF4" w14:paraId="51959F23" w14:textId="77777777" w:rsidTr="00D66DF4">
        <w:tc>
          <w:tcPr>
            <w:tcW w:w="4675" w:type="dxa"/>
          </w:tcPr>
          <w:p w14:paraId="0099BFB3" w14:textId="6F7EE531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August</w:t>
            </w:r>
          </w:p>
        </w:tc>
        <w:tc>
          <w:tcPr>
            <w:tcW w:w="4675" w:type="dxa"/>
          </w:tcPr>
          <w:p w14:paraId="255BE60F" w14:textId="73DDFCBB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5C808EF3" w14:textId="77777777" w:rsidTr="00434616">
        <w:tc>
          <w:tcPr>
            <w:tcW w:w="4675" w:type="dxa"/>
            <w:shd w:val="clear" w:color="auto" w:fill="DDD9C3" w:themeFill="background2" w:themeFillShade="E6"/>
          </w:tcPr>
          <w:p w14:paraId="7406F3DE" w14:textId="4F63C476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September</w:t>
            </w:r>
          </w:p>
        </w:tc>
        <w:tc>
          <w:tcPr>
            <w:tcW w:w="4675" w:type="dxa"/>
            <w:shd w:val="clear" w:color="auto" w:fill="DDD9C3" w:themeFill="background2" w:themeFillShade="E6"/>
          </w:tcPr>
          <w:p w14:paraId="49C66E41" w14:textId="67529783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5BC4E2EB" w14:textId="77777777" w:rsidTr="00D66DF4">
        <w:tc>
          <w:tcPr>
            <w:tcW w:w="4675" w:type="dxa"/>
          </w:tcPr>
          <w:p w14:paraId="4AF8EA3A" w14:textId="5A50C368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October</w:t>
            </w:r>
          </w:p>
        </w:tc>
        <w:tc>
          <w:tcPr>
            <w:tcW w:w="4675" w:type="dxa"/>
          </w:tcPr>
          <w:p w14:paraId="4A3E86C4" w14:textId="0D05B27B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32321BAA" w14:textId="77777777" w:rsidTr="00434616">
        <w:tc>
          <w:tcPr>
            <w:tcW w:w="4675" w:type="dxa"/>
            <w:shd w:val="clear" w:color="auto" w:fill="DDD9C3" w:themeFill="background2" w:themeFillShade="E6"/>
          </w:tcPr>
          <w:p w14:paraId="2B4249C8" w14:textId="4BD8CEFE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November</w:t>
            </w:r>
          </w:p>
        </w:tc>
        <w:tc>
          <w:tcPr>
            <w:tcW w:w="4675" w:type="dxa"/>
            <w:shd w:val="clear" w:color="auto" w:fill="DDD9C3" w:themeFill="background2" w:themeFillShade="E6"/>
          </w:tcPr>
          <w:p w14:paraId="29155387" w14:textId="18BC3ABF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79083FD2" w14:textId="77777777" w:rsidTr="00D66DF4">
        <w:tc>
          <w:tcPr>
            <w:tcW w:w="4675" w:type="dxa"/>
          </w:tcPr>
          <w:p w14:paraId="475C1662" w14:textId="7BE85E1F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December</w:t>
            </w:r>
          </w:p>
        </w:tc>
        <w:tc>
          <w:tcPr>
            <w:tcW w:w="4675" w:type="dxa"/>
          </w:tcPr>
          <w:p w14:paraId="32D38E56" w14:textId="296D06D9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5AF49EC5" w14:textId="77777777" w:rsidTr="00434616">
        <w:tc>
          <w:tcPr>
            <w:tcW w:w="4675" w:type="dxa"/>
            <w:shd w:val="clear" w:color="auto" w:fill="DDD9C3" w:themeFill="background2" w:themeFillShade="E6"/>
          </w:tcPr>
          <w:p w14:paraId="4C855F89" w14:textId="48554157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January</w:t>
            </w:r>
          </w:p>
        </w:tc>
        <w:tc>
          <w:tcPr>
            <w:tcW w:w="4675" w:type="dxa"/>
            <w:shd w:val="clear" w:color="auto" w:fill="DDD9C3" w:themeFill="background2" w:themeFillShade="E6"/>
          </w:tcPr>
          <w:p w14:paraId="33AEFB8A" w14:textId="2488D4B4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1DD9251F" w14:textId="77777777" w:rsidTr="00D66DF4">
        <w:tc>
          <w:tcPr>
            <w:tcW w:w="4675" w:type="dxa"/>
          </w:tcPr>
          <w:p w14:paraId="757BC9E6" w14:textId="78F4CAFC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February</w:t>
            </w:r>
          </w:p>
        </w:tc>
        <w:tc>
          <w:tcPr>
            <w:tcW w:w="4675" w:type="dxa"/>
          </w:tcPr>
          <w:p w14:paraId="28FD70B2" w14:textId="1D849713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1C3CD946" w14:textId="77777777" w:rsidTr="00434616">
        <w:tc>
          <w:tcPr>
            <w:tcW w:w="4675" w:type="dxa"/>
            <w:shd w:val="clear" w:color="auto" w:fill="DDD9C3" w:themeFill="background2" w:themeFillShade="E6"/>
          </w:tcPr>
          <w:p w14:paraId="5EB3B62A" w14:textId="23CEF6FD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March</w:t>
            </w:r>
          </w:p>
        </w:tc>
        <w:tc>
          <w:tcPr>
            <w:tcW w:w="4675" w:type="dxa"/>
            <w:shd w:val="clear" w:color="auto" w:fill="DDD9C3" w:themeFill="background2" w:themeFillShade="E6"/>
          </w:tcPr>
          <w:p w14:paraId="2F604B7D" w14:textId="0748A6DB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37852451" w14:textId="77777777" w:rsidTr="00D66DF4">
        <w:tc>
          <w:tcPr>
            <w:tcW w:w="4675" w:type="dxa"/>
          </w:tcPr>
          <w:p w14:paraId="6DF26520" w14:textId="70CABA00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April</w:t>
            </w:r>
          </w:p>
        </w:tc>
        <w:tc>
          <w:tcPr>
            <w:tcW w:w="4675" w:type="dxa"/>
          </w:tcPr>
          <w:p w14:paraId="071E7BEF" w14:textId="64B4A978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$18.</w:t>
            </w:r>
            <w:r w:rsidR="006E2B35">
              <w:rPr>
                <w:rFonts w:eastAsia="Times New Roman"/>
                <w:color w:val="auto"/>
              </w:rPr>
              <w:t>56</w:t>
            </w:r>
          </w:p>
        </w:tc>
      </w:tr>
      <w:tr w:rsidR="00D66DF4" w14:paraId="75DE3364" w14:textId="77777777" w:rsidTr="00434616">
        <w:tc>
          <w:tcPr>
            <w:tcW w:w="4675" w:type="dxa"/>
            <w:shd w:val="clear" w:color="auto" w:fill="DDD9C3" w:themeFill="background2" w:themeFillShade="E6"/>
          </w:tcPr>
          <w:p w14:paraId="5C4D5827" w14:textId="44588C9D" w:rsidR="00D66DF4" w:rsidRDefault="00D66DF4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May</w:t>
            </w:r>
          </w:p>
        </w:tc>
        <w:tc>
          <w:tcPr>
            <w:tcW w:w="4675" w:type="dxa"/>
            <w:shd w:val="clear" w:color="auto" w:fill="DDD9C3" w:themeFill="background2" w:themeFillShade="E6"/>
          </w:tcPr>
          <w:p w14:paraId="1E3BC416" w14:textId="19B4BE34" w:rsidR="00D66DF4" w:rsidRDefault="00A55987" w:rsidP="00D66DF4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$8.</w:t>
            </w:r>
            <w:r w:rsidR="006E2B35">
              <w:rPr>
                <w:rFonts w:eastAsia="Times New Roman"/>
                <w:color w:val="auto"/>
              </w:rPr>
              <w:t>98</w:t>
            </w:r>
          </w:p>
        </w:tc>
      </w:tr>
    </w:tbl>
    <w:p w14:paraId="5CA803F5" w14:textId="45FE26A8" w:rsidR="00D66DF4" w:rsidRDefault="00D66DF4" w:rsidP="00E30E44">
      <w:pPr>
        <w:rPr>
          <w:rFonts w:eastAsia="Times New Roman"/>
          <w:color w:val="auto"/>
        </w:rPr>
      </w:pPr>
    </w:p>
    <w:p w14:paraId="421DDCE3" w14:textId="37A7C0C1" w:rsidR="00B04DD2" w:rsidRDefault="00B04DD2" w:rsidP="00E30E44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NOTE: The total amount that a child is eligible for will be rounded using standard rounding logic (.50 and greater rounds up and .49 and less rounds down).</w:t>
      </w:r>
    </w:p>
    <w:p w14:paraId="399A76E4" w14:textId="75CFED4E" w:rsidR="00B04DD2" w:rsidRDefault="00B04DD2" w:rsidP="00E30E44">
      <w:pPr>
        <w:rPr>
          <w:rFonts w:eastAsia="Times New Roman"/>
          <w:color w:val="auto"/>
        </w:rPr>
      </w:pPr>
    </w:p>
    <w:p w14:paraId="3797BDBC" w14:textId="53569FDA" w:rsidR="00B04DD2" w:rsidRDefault="00B04DD2" w:rsidP="00E30E44">
      <w:pPr>
        <w:rPr>
          <w:rFonts w:eastAsia="Times New Roman"/>
          <w:color w:val="auto"/>
        </w:rPr>
      </w:pPr>
    </w:p>
    <w:p w14:paraId="3D3F3DC5" w14:textId="05D67E2E" w:rsidR="00B04DD2" w:rsidRPr="0097400C" w:rsidRDefault="00B04DD2" w:rsidP="00E30E44">
      <w:pPr>
        <w:rPr>
          <w:rFonts w:eastAsia="Times New Roman"/>
          <w:b/>
          <w:bCs/>
          <w:color w:val="auto"/>
          <w:sz w:val="28"/>
          <w:szCs w:val="28"/>
        </w:rPr>
      </w:pPr>
      <w:r w:rsidRPr="0097400C">
        <w:rPr>
          <w:rFonts w:eastAsia="Times New Roman"/>
          <w:b/>
          <w:bCs/>
          <w:color w:val="auto"/>
          <w:sz w:val="28"/>
          <w:szCs w:val="28"/>
        </w:rPr>
        <w:t>Examples:</w:t>
      </w:r>
    </w:p>
    <w:p w14:paraId="10B34F5B" w14:textId="49F802B7" w:rsidR="00B04DD2" w:rsidRDefault="00B04DD2" w:rsidP="00E30E44">
      <w:pPr>
        <w:rPr>
          <w:rFonts w:eastAsia="Times New Roman"/>
          <w:color w:val="auto"/>
        </w:rPr>
      </w:pPr>
    </w:p>
    <w:p w14:paraId="4A8D0A36" w14:textId="73BC1068" w:rsidR="00B04DD2" w:rsidRDefault="00B04DD2" w:rsidP="00B04DD2">
      <w:pPr>
        <w:pStyle w:val="ListParagraph"/>
        <w:numPr>
          <w:ilvl w:val="0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Tessa age 4 received food assistance benefits in the months of August 2022 – February 2023.  KEES will identify that Tessa is eligible for Child Care P-EBT for the months of August 2022 – February 2023 for a total of $12</w:t>
      </w:r>
      <w:r w:rsidR="006E2B35">
        <w:rPr>
          <w:rFonts w:eastAsia="Times New Roman"/>
          <w:color w:val="auto"/>
        </w:rPr>
        <w:t>9</w:t>
      </w:r>
      <w:r>
        <w:rPr>
          <w:rFonts w:eastAsia="Times New Roman"/>
          <w:color w:val="auto"/>
        </w:rPr>
        <w:t>.</w:t>
      </w:r>
      <w:r w:rsidR="006E2B35">
        <w:rPr>
          <w:rFonts w:eastAsia="Times New Roman"/>
          <w:color w:val="auto"/>
        </w:rPr>
        <w:t>92</w:t>
      </w:r>
      <w:r>
        <w:rPr>
          <w:rFonts w:eastAsia="Times New Roman"/>
          <w:color w:val="auto"/>
        </w:rPr>
        <w:t>.  KEES will issue a total benefit of $1</w:t>
      </w:r>
      <w:r w:rsidR="006E2B35">
        <w:rPr>
          <w:rFonts w:eastAsia="Times New Roman"/>
          <w:color w:val="auto"/>
        </w:rPr>
        <w:t>30</w:t>
      </w:r>
      <w:r>
        <w:rPr>
          <w:rFonts w:eastAsia="Times New Roman"/>
          <w:color w:val="auto"/>
        </w:rPr>
        <w:t xml:space="preserve">.00.  </w:t>
      </w:r>
    </w:p>
    <w:p w14:paraId="755C118A" w14:textId="4CD87717" w:rsidR="00B04DD2" w:rsidRDefault="00B04DD2" w:rsidP="00B04DD2">
      <w:pPr>
        <w:rPr>
          <w:rFonts w:eastAsia="Times New Roman"/>
          <w:color w:val="auto"/>
        </w:rPr>
      </w:pPr>
    </w:p>
    <w:p w14:paraId="275D90CA" w14:textId="371B068E" w:rsidR="00B04DD2" w:rsidRDefault="00B04DD2" w:rsidP="00B04DD2">
      <w:pPr>
        <w:pStyle w:val="ListParagraph"/>
        <w:numPr>
          <w:ilvl w:val="0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Myles age 2 received food assistance benefits in the months of October 2022 – December 2022 and M</w:t>
      </w:r>
      <w:r w:rsidR="00D8375D">
        <w:rPr>
          <w:rFonts w:eastAsia="Times New Roman"/>
          <w:color w:val="auto"/>
        </w:rPr>
        <w:t>arch</w:t>
      </w:r>
      <w:r>
        <w:rPr>
          <w:rFonts w:eastAsia="Times New Roman"/>
          <w:color w:val="auto"/>
        </w:rPr>
        <w:t xml:space="preserve"> 2023</w:t>
      </w:r>
      <w:r w:rsidR="00D8375D">
        <w:rPr>
          <w:rFonts w:eastAsia="Times New Roman"/>
          <w:color w:val="auto"/>
        </w:rPr>
        <w:t xml:space="preserve"> – April 2023</w:t>
      </w:r>
      <w:r>
        <w:rPr>
          <w:rFonts w:eastAsia="Times New Roman"/>
          <w:color w:val="auto"/>
        </w:rPr>
        <w:t>.  KEES will identify that Myles is eligible for Child Care P-EBT for the months of October 2022 – December 2022 and M</w:t>
      </w:r>
      <w:r w:rsidR="00D8375D">
        <w:rPr>
          <w:rFonts w:eastAsia="Times New Roman"/>
          <w:color w:val="auto"/>
        </w:rPr>
        <w:t>arch</w:t>
      </w:r>
      <w:r>
        <w:rPr>
          <w:rFonts w:eastAsia="Times New Roman"/>
          <w:color w:val="auto"/>
        </w:rPr>
        <w:t xml:space="preserve"> 2023</w:t>
      </w:r>
      <w:r w:rsidR="00D8375D">
        <w:rPr>
          <w:rFonts w:eastAsia="Times New Roman"/>
          <w:color w:val="auto"/>
        </w:rPr>
        <w:t xml:space="preserve"> – April 2023</w:t>
      </w:r>
      <w:r>
        <w:rPr>
          <w:rFonts w:eastAsia="Times New Roman"/>
          <w:color w:val="auto"/>
        </w:rPr>
        <w:t xml:space="preserve"> for a total of $</w:t>
      </w:r>
      <w:r w:rsidR="00D8375D">
        <w:rPr>
          <w:rFonts w:eastAsia="Times New Roman"/>
          <w:color w:val="auto"/>
        </w:rPr>
        <w:t>9</w:t>
      </w:r>
      <w:r w:rsidR="006E2B35">
        <w:rPr>
          <w:rFonts w:eastAsia="Times New Roman"/>
          <w:color w:val="auto"/>
        </w:rPr>
        <w:t>2.80</w:t>
      </w:r>
      <w:r>
        <w:rPr>
          <w:rFonts w:eastAsia="Times New Roman"/>
          <w:color w:val="auto"/>
        </w:rPr>
        <w:t>.  KEES will issue a total benefit of $</w:t>
      </w:r>
      <w:r w:rsidR="00D8375D">
        <w:rPr>
          <w:rFonts w:eastAsia="Times New Roman"/>
          <w:color w:val="auto"/>
        </w:rPr>
        <w:t>9</w:t>
      </w:r>
      <w:r w:rsidR="006E2B35">
        <w:rPr>
          <w:rFonts w:eastAsia="Times New Roman"/>
          <w:color w:val="auto"/>
        </w:rPr>
        <w:t>3</w:t>
      </w:r>
      <w:r w:rsidR="00D8375D">
        <w:rPr>
          <w:rFonts w:eastAsia="Times New Roman"/>
          <w:color w:val="auto"/>
        </w:rPr>
        <w:t>.00</w:t>
      </w:r>
      <w:r>
        <w:rPr>
          <w:rFonts w:eastAsia="Times New Roman"/>
          <w:color w:val="auto"/>
        </w:rPr>
        <w:t>.</w:t>
      </w:r>
    </w:p>
    <w:p w14:paraId="78C72EF5" w14:textId="77777777" w:rsidR="00B04DD2" w:rsidRPr="00B04DD2" w:rsidRDefault="00B04DD2" w:rsidP="00B04DD2">
      <w:pPr>
        <w:pStyle w:val="ListParagraph"/>
        <w:rPr>
          <w:rFonts w:eastAsia="Times New Roman"/>
          <w:color w:val="auto"/>
        </w:rPr>
      </w:pPr>
    </w:p>
    <w:p w14:paraId="79F9A1F5" w14:textId="346B3A53" w:rsidR="00B04DD2" w:rsidRDefault="00272C62" w:rsidP="00B04DD2">
      <w:pPr>
        <w:pStyle w:val="ListParagraph"/>
        <w:numPr>
          <w:ilvl w:val="0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Stella age 3 received food assistance benefits in the months of August 2022 – September 2022 and household reapplied for food assistance on </w:t>
      </w:r>
      <w:r w:rsidR="00CB4E8F">
        <w:rPr>
          <w:rFonts w:eastAsia="Times New Roman"/>
          <w:color w:val="auto"/>
        </w:rPr>
        <w:t>May 4, 2023 and</w:t>
      </w:r>
      <w:r>
        <w:rPr>
          <w:rFonts w:eastAsia="Times New Roman"/>
          <w:color w:val="auto"/>
        </w:rPr>
        <w:t xml:space="preserve"> was found eligible for </w:t>
      </w:r>
      <w:r w:rsidR="00CB4E8F">
        <w:rPr>
          <w:rFonts w:eastAsia="Times New Roman"/>
          <w:color w:val="auto"/>
        </w:rPr>
        <w:t xml:space="preserve">May 2023 </w:t>
      </w:r>
      <w:r>
        <w:rPr>
          <w:rFonts w:eastAsia="Times New Roman"/>
          <w:color w:val="auto"/>
        </w:rPr>
        <w:t>food assistance.  KEES will identify that Stella is eligible for Child Care P-EBT for the months of August 2022 – September 2022 and May 2023 for a total of $4</w:t>
      </w:r>
      <w:r w:rsidR="006E2B35">
        <w:rPr>
          <w:rFonts w:eastAsia="Times New Roman"/>
          <w:color w:val="auto"/>
        </w:rPr>
        <w:t>6.10</w:t>
      </w:r>
      <w:r>
        <w:rPr>
          <w:rFonts w:eastAsia="Times New Roman"/>
          <w:color w:val="auto"/>
        </w:rPr>
        <w:t>.  KEES will issue a total benefit of $4</w:t>
      </w:r>
      <w:r w:rsidR="006E2B35">
        <w:rPr>
          <w:rFonts w:eastAsia="Times New Roman"/>
          <w:color w:val="auto"/>
        </w:rPr>
        <w:t>6</w:t>
      </w:r>
      <w:r>
        <w:rPr>
          <w:rFonts w:eastAsia="Times New Roman"/>
          <w:color w:val="auto"/>
        </w:rPr>
        <w:t>.00.</w:t>
      </w:r>
    </w:p>
    <w:p w14:paraId="55485CB5" w14:textId="77777777" w:rsidR="00272C62" w:rsidRPr="00272C62" w:rsidRDefault="00272C62" w:rsidP="00272C62">
      <w:pPr>
        <w:pStyle w:val="ListParagraph"/>
        <w:rPr>
          <w:rFonts w:eastAsia="Times New Roman"/>
          <w:color w:val="auto"/>
        </w:rPr>
      </w:pPr>
    </w:p>
    <w:p w14:paraId="442B898A" w14:textId="5BE2B9CB" w:rsidR="00272C62" w:rsidRDefault="00272C62" w:rsidP="00B04DD2">
      <w:pPr>
        <w:pStyle w:val="ListParagraph"/>
        <w:numPr>
          <w:ilvl w:val="0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Colton age 2 received food assistance benefits for October 2022 – January 2023 and household reapplied for food assistance on </w:t>
      </w:r>
      <w:r w:rsidR="00FE4EFE">
        <w:rPr>
          <w:rFonts w:eastAsia="Times New Roman"/>
          <w:color w:val="auto"/>
        </w:rPr>
        <w:t>May 24, 2023 and</w:t>
      </w:r>
      <w:r>
        <w:rPr>
          <w:rFonts w:eastAsia="Times New Roman"/>
          <w:color w:val="auto"/>
        </w:rPr>
        <w:t xml:space="preserve"> was found eligible for </w:t>
      </w:r>
      <w:r w:rsidR="00CB4E8F">
        <w:rPr>
          <w:rFonts w:eastAsia="Times New Roman"/>
          <w:color w:val="auto"/>
        </w:rPr>
        <w:t xml:space="preserve">May 2023 </w:t>
      </w:r>
      <w:r>
        <w:rPr>
          <w:rFonts w:eastAsia="Times New Roman"/>
          <w:color w:val="auto"/>
        </w:rPr>
        <w:t>food assistance.  KEES will identify that Colton is eligible for Child Care P-EBT for October 2022 – January 2023 for a total of $</w:t>
      </w:r>
      <w:r w:rsidR="006E2B35">
        <w:rPr>
          <w:rFonts w:eastAsia="Times New Roman"/>
          <w:color w:val="auto"/>
        </w:rPr>
        <w:t>74.24</w:t>
      </w:r>
      <w:r>
        <w:rPr>
          <w:rFonts w:eastAsia="Times New Roman"/>
          <w:color w:val="auto"/>
        </w:rPr>
        <w:t>.  Colton is not eligible May</w:t>
      </w:r>
      <w:r w:rsidR="00CB4E8F">
        <w:rPr>
          <w:rFonts w:eastAsia="Times New Roman"/>
          <w:color w:val="auto"/>
        </w:rPr>
        <w:t xml:space="preserve"> 2023</w:t>
      </w:r>
      <w:r>
        <w:rPr>
          <w:rFonts w:eastAsia="Times New Roman"/>
          <w:color w:val="auto"/>
        </w:rPr>
        <w:t xml:space="preserve"> Child Care P-EBT </w:t>
      </w:r>
      <w:r w:rsidR="00CB4E8F">
        <w:rPr>
          <w:rFonts w:eastAsia="Times New Roman"/>
          <w:color w:val="auto"/>
        </w:rPr>
        <w:t xml:space="preserve">as </w:t>
      </w:r>
      <w:r w:rsidR="00D2709B">
        <w:rPr>
          <w:rFonts w:eastAsia="Times New Roman"/>
          <w:color w:val="auto"/>
        </w:rPr>
        <w:t>application and eligibility date</w:t>
      </w:r>
      <w:r w:rsidR="00CB4E8F">
        <w:rPr>
          <w:rFonts w:eastAsia="Times New Roman"/>
          <w:color w:val="auto"/>
        </w:rPr>
        <w:t xml:space="preserve"> for food assistance </w:t>
      </w:r>
      <w:r w:rsidR="00D2709B">
        <w:rPr>
          <w:rFonts w:eastAsia="Times New Roman"/>
          <w:color w:val="auto"/>
        </w:rPr>
        <w:t>was</w:t>
      </w:r>
      <w:r w:rsidR="00CB4E8F">
        <w:rPr>
          <w:rFonts w:eastAsia="Times New Roman"/>
          <w:color w:val="auto"/>
        </w:rPr>
        <w:t xml:space="preserve"> after May 11, 2023.  </w:t>
      </w:r>
      <w:r w:rsidR="006E2B35">
        <w:rPr>
          <w:rFonts w:eastAsia="Times New Roman"/>
          <w:color w:val="auto"/>
        </w:rPr>
        <w:t>KEES will issue a total benefit of $74.00.</w:t>
      </w:r>
    </w:p>
    <w:p w14:paraId="0943794D" w14:textId="77777777" w:rsidR="007C4A18" w:rsidRDefault="007C4A18" w:rsidP="00D10135">
      <w:pPr>
        <w:rPr>
          <w:rFonts w:eastAsia="Times New Roman"/>
          <w:b/>
          <w:bCs/>
          <w:color w:val="auto"/>
          <w:sz w:val="28"/>
          <w:szCs w:val="28"/>
        </w:rPr>
      </w:pPr>
    </w:p>
    <w:p w14:paraId="6476721F" w14:textId="44DDBA5E" w:rsidR="00D10135" w:rsidRDefault="0097400C" w:rsidP="00D10135">
      <w:pPr>
        <w:rPr>
          <w:rFonts w:eastAsia="Times New Roman"/>
          <w:b/>
          <w:bCs/>
          <w:color w:val="auto"/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</w:rPr>
        <w:t>Implementation Timeline:</w:t>
      </w:r>
    </w:p>
    <w:p w14:paraId="433FBEF2" w14:textId="7F8D119E" w:rsidR="0097400C" w:rsidRDefault="0097400C" w:rsidP="00D10135">
      <w:pPr>
        <w:rPr>
          <w:rFonts w:eastAsia="Times New Roman"/>
          <w:b/>
          <w:bCs/>
          <w:color w:val="auto"/>
          <w:sz w:val="28"/>
          <w:szCs w:val="28"/>
        </w:rPr>
      </w:pPr>
    </w:p>
    <w:p w14:paraId="61E9D415" w14:textId="29DBB771" w:rsidR="0097400C" w:rsidRDefault="000B1E2D" w:rsidP="000B1E2D">
      <w:pPr>
        <w:pStyle w:val="ListParagraph"/>
        <w:numPr>
          <w:ilvl w:val="0"/>
          <w:numId w:val="4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Batch EDBC Run – </w:t>
      </w:r>
      <w:r w:rsidR="003F1534">
        <w:rPr>
          <w:rFonts w:eastAsia="Times New Roman"/>
          <w:color w:val="auto"/>
        </w:rPr>
        <w:t>August 11</w:t>
      </w:r>
      <w:r w:rsidR="003F1534" w:rsidRPr="003F1534">
        <w:rPr>
          <w:rFonts w:eastAsia="Times New Roman"/>
          <w:color w:val="auto"/>
          <w:vertAlign w:val="superscript"/>
        </w:rPr>
        <w:t>th</w:t>
      </w:r>
      <w:r w:rsidR="003F1534">
        <w:rPr>
          <w:rFonts w:eastAsia="Times New Roman"/>
          <w:color w:val="auto"/>
        </w:rPr>
        <w:t xml:space="preserve"> and/or August 12</w:t>
      </w:r>
      <w:r w:rsidR="003F1534" w:rsidRPr="003F1534">
        <w:rPr>
          <w:rFonts w:eastAsia="Times New Roman"/>
          <w:color w:val="auto"/>
          <w:vertAlign w:val="superscript"/>
        </w:rPr>
        <w:t>th</w:t>
      </w:r>
      <w:r w:rsidR="003F1534">
        <w:rPr>
          <w:rFonts w:eastAsia="Times New Roman"/>
          <w:color w:val="auto"/>
        </w:rPr>
        <w:t xml:space="preserve"> </w:t>
      </w:r>
    </w:p>
    <w:p w14:paraId="5E7A831A" w14:textId="2D29CEBC" w:rsidR="000B1E2D" w:rsidRDefault="000B1E2D" w:rsidP="000B1E2D">
      <w:pPr>
        <w:pStyle w:val="ListParagraph"/>
        <w:numPr>
          <w:ilvl w:val="0"/>
          <w:numId w:val="4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Fall out work begins – </w:t>
      </w:r>
      <w:r w:rsidR="003F1534">
        <w:rPr>
          <w:rFonts w:eastAsia="Times New Roman"/>
          <w:color w:val="auto"/>
        </w:rPr>
        <w:t>August 14</w:t>
      </w:r>
      <w:r w:rsidR="003F1534" w:rsidRPr="003F1534">
        <w:rPr>
          <w:rFonts w:eastAsia="Times New Roman"/>
          <w:color w:val="auto"/>
          <w:vertAlign w:val="superscript"/>
        </w:rPr>
        <w:t>th</w:t>
      </w:r>
      <w:r w:rsidR="003F1534">
        <w:rPr>
          <w:rFonts w:eastAsia="Times New Roman"/>
          <w:color w:val="auto"/>
        </w:rPr>
        <w:t xml:space="preserve"> </w:t>
      </w:r>
    </w:p>
    <w:p w14:paraId="6AE1246D" w14:textId="07575876" w:rsidR="000B1E2D" w:rsidRDefault="000B1E2D" w:rsidP="000B1E2D">
      <w:pPr>
        <w:pStyle w:val="ListParagraph"/>
        <w:numPr>
          <w:ilvl w:val="0"/>
          <w:numId w:val="4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Benefits will be available – </w:t>
      </w:r>
      <w:r w:rsidR="003F1534">
        <w:rPr>
          <w:rFonts w:eastAsia="Times New Roman"/>
          <w:color w:val="auto"/>
        </w:rPr>
        <w:t>August 15</w:t>
      </w:r>
      <w:r w:rsidR="003F1534" w:rsidRPr="003F1534">
        <w:rPr>
          <w:rFonts w:eastAsia="Times New Roman"/>
          <w:color w:val="auto"/>
          <w:vertAlign w:val="superscript"/>
        </w:rPr>
        <w:t>th</w:t>
      </w:r>
      <w:r w:rsidR="003F1534">
        <w:rPr>
          <w:rFonts w:eastAsia="Times New Roman"/>
          <w:color w:val="auto"/>
        </w:rPr>
        <w:t xml:space="preserve"> – August 24</w:t>
      </w:r>
      <w:r w:rsidR="003F1534" w:rsidRPr="003F1534">
        <w:rPr>
          <w:rFonts w:eastAsia="Times New Roman"/>
          <w:color w:val="auto"/>
          <w:vertAlign w:val="superscript"/>
        </w:rPr>
        <w:t>th</w:t>
      </w:r>
      <w:r w:rsidR="003F1534">
        <w:rPr>
          <w:rFonts w:eastAsia="Times New Roman"/>
          <w:color w:val="auto"/>
        </w:rPr>
        <w:t xml:space="preserve"> </w:t>
      </w:r>
    </w:p>
    <w:p w14:paraId="68101312" w14:textId="35F34A53" w:rsidR="000B1E2D" w:rsidRDefault="000B1E2D" w:rsidP="000B1E2D">
      <w:pPr>
        <w:rPr>
          <w:rFonts w:eastAsia="Times New Roman"/>
          <w:color w:val="auto"/>
        </w:rPr>
      </w:pPr>
    </w:p>
    <w:p w14:paraId="51771058" w14:textId="1FAD0343" w:rsidR="000B1E2D" w:rsidRDefault="000B1E2D" w:rsidP="000B1E2D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Benefits will be available on a stagger</w:t>
      </w:r>
      <w:r w:rsidR="00FE4EFE">
        <w:rPr>
          <w:rFonts w:eastAsia="Times New Roman"/>
          <w:color w:val="auto"/>
        </w:rPr>
        <w:t>ed</w:t>
      </w:r>
      <w:r>
        <w:rPr>
          <w:rFonts w:eastAsia="Times New Roman"/>
          <w:color w:val="auto"/>
        </w:rPr>
        <w:t xml:space="preserve"> issuance schedule as seen below:</w:t>
      </w:r>
    </w:p>
    <w:p w14:paraId="3BD5217B" w14:textId="7A722CF1" w:rsidR="000B1E2D" w:rsidRDefault="000B1E2D" w:rsidP="000B1E2D">
      <w:pPr>
        <w:rPr>
          <w:rFonts w:eastAsia="Times New Roman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1E2D" w14:paraId="2EE2FF04" w14:textId="77777777" w:rsidTr="000B1E2D">
        <w:tc>
          <w:tcPr>
            <w:tcW w:w="9350" w:type="dxa"/>
            <w:gridSpan w:val="2"/>
            <w:shd w:val="clear" w:color="auto" w:fill="948A54" w:themeFill="background2" w:themeFillShade="80"/>
          </w:tcPr>
          <w:p w14:paraId="4B30EC38" w14:textId="279723D6" w:rsidR="000B1E2D" w:rsidRDefault="000B1E2D" w:rsidP="000B1E2D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August 2023 Child Care P-EBT Issuance Schedule</w:t>
            </w:r>
          </w:p>
        </w:tc>
      </w:tr>
      <w:tr w:rsidR="000B1E2D" w14:paraId="7079F464" w14:textId="77777777" w:rsidTr="000B1E2D">
        <w:tc>
          <w:tcPr>
            <w:tcW w:w="4675" w:type="dxa"/>
            <w:shd w:val="clear" w:color="auto" w:fill="C4BC96" w:themeFill="background2" w:themeFillShade="BF"/>
          </w:tcPr>
          <w:p w14:paraId="29CCC46E" w14:textId="7A563622" w:rsidR="000B1E2D" w:rsidRDefault="000B1E2D" w:rsidP="000B1E2D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If the clients last name starts with:</w:t>
            </w:r>
          </w:p>
        </w:tc>
        <w:tc>
          <w:tcPr>
            <w:tcW w:w="4675" w:type="dxa"/>
            <w:shd w:val="clear" w:color="auto" w:fill="C4BC96" w:themeFill="background2" w:themeFillShade="BF"/>
          </w:tcPr>
          <w:p w14:paraId="6A30E2CE" w14:textId="442DCFF8" w:rsidR="000B1E2D" w:rsidRDefault="000B1E2D" w:rsidP="000B1E2D">
            <w:pPr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The consumer(s) (if eligible) will get their benefits after 6:00am on the:</w:t>
            </w:r>
          </w:p>
        </w:tc>
      </w:tr>
      <w:tr w:rsidR="000B1E2D" w14:paraId="78BECB3B" w14:textId="77777777" w:rsidTr="000B1E2D">
        <w:tc>
          <w:tcPr>
            <w:tcW w:w="4675" w:type="dxa"/>
            <w:shd w:val="clear" w:color="auto" w:fill="DDD9C3" w:themeFill="background2" w:themeFillShade="E6"/>
          </w:tcPr>
          <w:p w14:paraId="6490F8F8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A or B</w:t>
            </w:r>
          </w:p>
          <w:p w14:paraId="3DE67F08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C or D</w:t>
            </w:r>
          </w:p>
          <w:p w14:paraId="21B0FF9E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E, F, or G</w:t>
            </w:r>
          </w:p>
          <w:p w14:paraId="6717498F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H, I, or J</w:t>
            </w:r>
          </w:p>
          <w:p w14:paraId="6E7347FB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K or L</w:t>
            </w:r>
          </w:p>
          <w:p w14:paraId="44FEBC44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M</w:t>
            </w:r>
          </w:p>
          <w:p w14:paraId="4315C1E0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N, O, P, Q, or R</w:t>
            </w:r>
          </w:p>
          <w:p w14:paraId="395F245F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S</w:t>
            </w:r>
          </w:p>
          <w:p w14:paraId="3C54380E" w14:textId="77777777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T, U, or V</w:t>
            </w:r>
          </w:p>
          <w:p w14:paraId="6599E1EF" w14:textId="0DEF466B" w:rsidR="000B1E2D" w:rsidRDefault="003F1534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W</w:t>
            </w:r>
            <w:r w:rsidR="000B1E2D">
              <w:rPr>
                <w:rFonts w:eastAsia="Times New Roman"/>
                <w:color w:val="auto"/>
              </w:rPr>
              <w:t>, X, Y, or Z</w:t>
            </w:r>
          </w:p>
        </w:tc>
        <w:tc>
          <w:tcPr>
            <w:tcW w:w="4675" w:type="dxa"/>
            <w:shd w:val="clear" w:color="auto" w:fill="DDD9C3" w:themeFill="background2" w:themeFillShade="E6"/>
          </w:tcPr>
          <w:p w14:paraId="4474E5F8" w14:textId="5AEB3DA3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590AD7">
              <w:rPr>
                <w:rFonts w:eastAsia="Times New Roman"/>
                <w:color w:val="auto"/>
              </w:rPr>
              <w:t>1</w:t>
            </w:r>
            <w:r w:rsidR="003F1534">
              <w:rPr>
                <w:rFonts w:eastAsia="Times New Roman"/>
                <w:color w:val="auto"/>
              </w:rPr>
              <w:t>5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43B296C4" w14:textId="144C7ED4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590AD7">
              <w:rPr>
                <w:rFonts w:eastAsia="Times New Roman"/>
                <w:color w:val="auto"/>
              </w:rPr>
              <w:t>1</w:t>
            </w:r>
            <w:r w:rsidR="003F1534">
              <w:rPr>
                <w:rFonts w:eastAsia="Times New Roman"/>
                <w:color w:val="auto"/>
              </w:rPr>
              <w:t>6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525C22F9" w14:textId="7DF007AB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590AD7">
              <w:rPr>
                <w:rFonts w:eastAsia="Times New Roman"/>
                <w:color w:val="auto"/>
              </w:rPr>
              <w:t>1</w:t>
            </w:r>
            <w:r w:rsidR="003F1534">
              <w:rPr>
                <w:rFonts w:eastAsia="Times New Roman"/>
                <w:color w:val="auto"/>
              </w:rPr>
              <w:t>7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1F853DBD" w14:textId="02626DD6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590AD7">
              <w:rPr>
                <w:rFonts w:eastAsia="Times New Roman"/>
                <w:color w:val="auto"/>
              </w:rPr>
              <w:t>1</w:t>
            </w:r>
            <w:r w:rsidR="003F1534">
              <w:rPr>
                <w:rFonts w:eastAsia="Times New Roman"/>
                <w:color w:val="auto"/>
              </w:rPr>
              <w:t>8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5B556CB8" w14:textId="7BD8E1B4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590AD7">
              <w:rPr>
                <w:rFonts w:eastAsia="Times New Roman"/>
                <w:color w:val="auto"/>
              </w:rPr>
              <w:t>1</w:t>
            </w:r>
            <w:r w:rsidR="003F1534">
              <w:rPr>
                <w:rFonts w:eastAsia="Times New Roman"/>
                <w:color w:val="auto"/>
              </w:rPr>
              <w:t>9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32A98F5C" w14:textId="02D0FD38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3F1534">
              <w:rPr>
                <w:rFonts w:eastAsia="Times New Roman"/>
                <w:color w:val="auto"/>
              </w:rPr>
              <w:t>20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42DE983F" w14:textId="60C948CA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3F1534">
              <w:rPr>
                <w:rFonts w:eastAsia="Times New Roman"/>
                <w:color w:val="auto"/>
              </w:rPr>
              <w:t>21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2B3EE392" w14:textId="04F69FAE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3F1534">
              <w:rPr>
                <w:rFonts w:eastAsia="Times New Roman"/>
                <w:color w:val="auto"/>
              </w:rPr>
              <w:t>22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3ABA7E06" w14:textId="48D90ADC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3F1534">
              <w:rPr>
                <w:rFonts w:eastAsia="Times New Roman"/>
                <w:color w:val="auto"/>
              </w:rPr>
              <w:t>23</w:t>
            </w:r>
            <w:r>
              <w:rPr>
                <w:rFonts w:eastAsia="Times New Roman"/>
                <w:color w:val="auto"/>
              </w:rPr>
              <w:t>/2023</w:t>
            </w:r>
          </w:p>
          <w:p w14:paraId="5B7D80B0" w14:textId="20FF7528" w:rsidR="000B1E2D" w:rsidRDefault="000B1E2D" w:rsidP="000B1E2D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08/</w:t>
            </w:r>
            <w:r w:rsidR="003F1534">
              <w:rPr>
                <w:rFonts w:eastAsia="Times New Roman"/>
                <w:color w:val="auto"/>
              </w:rPr>
              <w:t>24</w:t>
            </w:r>
            <w:r>
              <w:rPr>
                <w:rFonts w:eastAsia="Times New Roman"/>
                <w:color w:val="auto"/>
              </w:rPr>
              <w:t>/2023</w:t>
            </w:r>
          </w:p>
        </w:tc>
      </w:tr>
    </w:tbl>
    <w:p w14:paraId="093321C6" w14:textId="77777777" w:rsidR="000B1E2D" w:rsidRPr="000B1E2D" w:rsidRDefault="000B1E2D" w:rsidP="000B1E2D">
      <w:pPr>
        <w:rPr>
          <w:rFonts w:eastAsia="Times New Roman"/>
          <w:color w:val="auto"/>
        </w:rPr>
      </w:pPr>
    </w:p>
    <w:p w14:paraId="7F5EAF5D" w14:textId="09E9B627" w:rsidR="004530A8" w:rsidRDefault="004530A8" w:rsidP="00E30E44">
      <w:pPr>
        <w:rPr>
          <w:rFonts w:eastAsia="Times New Roman"/>
          <w:color w:val="auto"/>
        </w:rPr>
      </w:pPr>
    </w:p>
    <w:p w14:paraId="65FDBA33" w14:textId="538CDF32" w:rsidR="0077613B" w:rsidRDefault="0077613B" w:rsidP="00E30E44">
      <w:pPr>
        <w:rPr>
          <w:rFonts w:eastAsia="Times New Roman"/>
          <w:b/>
          <w:bCs/>
          <w:color w:val="auto"/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</w:rPr>
        <w:t>Undeliverable EBT Card:</w:t>
      </w:r>
    </w:p>
    <w:p w14:paraId="212B5F77" w14:textId="17FA1586" w:rsidR="0077613B" w:rsidRDefault="0077613B" w:rsidP="00E30E44">
      <w:pPr>
        <w:rPr>
          <w:rFonts w:eastAsia="Times New Roman"/>
          <w:color w:val="auto"/>
        </w:rPr>
      </w:pPr>
    </w:p>
    <w:p w14:paraId="70187F7B" w14:textId="0088FCBF" w:rsidR="0077613B" w:rsidRDefault="0077613B" w:rsidP="0077613B">
      <w:pPr>
        <w:pStyle w:val="ListParagraph"/>
        <w:numPr>
          <w:ilvl w:val="0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Review the case in KEES to determine if Food Assistance, TANF, Child Care or P-EBT are open.  Check to see if a new address has been reported and not yet data accepted.</w:t>
      </w:r>
    </w:p>
    <w:p w14:paraId="2EBC2FD3" w14:textId="66B75DB6" w:rsidR="0077613B" w:rsidRDefault="0077613B" w:rsidP="0077613B">
      <w:pPr>
        <w:pStyle w:val="ListParagraph"/>
        <w:numPr>
          <w:ilvl w:val="1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Follow normal processes to update the address in KEES.</w:t>
      </w:r>
    </w:p>
    <w:p w14:paraId="2393050E" w14:textId="0538DC08" w:rsidR="0077613B" w:rsidRPr="0077613B" w:rsidRDefault="0077613B" w:rsidP="0077613B">
      <w:pPr>
        <w:pStyle w:val="ListParagraph"/>
        <w:numPr>
          <w:ilvl w:val="0"/>
          <w:numId w:val="2"/>
        </w:numPr>
        <w:rPr>
          <w:rFonts w:eastAsia="Times New Roman"/>
          <w:color w:val="auto"/>
        </w:rPr>
      </w:pPr>
      <w:r>
        <w:rPr>
          <w:rFonts w:eastAsia="Times New Roman"/>
          <w:color w:val="auto"/>
        </w:rPr>
        <w:t>If Food Assistance, TANF, Child Care or P-EBT is not open, disregard and delete task.</w:t>
      </w:r>
    </w:p>
    <w:p w14:paraId="49FE2EF9" w14:textId="71A79909" w:rsidR="0077613B" w:rsidRDefault="0077613B" w:rsidP="0077613B">
      <w:pPr>
        <w:rPr>
          <w:rFonts w:eastAsia="Times New Roman"/>
          <w:color w:val="auto"/>
        </w:rPr>
      </w:pPr>
    </w:p>
    <w:p w14:paraId="45A6E9C0" w14:textId="38E3137E" w:rsidR="0077613B" w:rsidRDefault="00BA26B4" w:rsidP="0077613B">
      <w:pPr>
        <w:rPr>
          <w:rFonts w:eastAsia="Times New Roman"/>
          <w:color w:val="auto"/>
        </w:rPr>
      </w:pPr>
      <w:hyperlink r:id="rId12" w:history="1">
        <w:r w:rsidR="0077613B" w:rsidRPr="001A21A4">
          <w:rPr>
            <w:rStyle w:val="Hyperlink"/>
            <w:rFonts w:eastAsia="Times New Roman"/>
          </w:rPr>
          <w:t>http://dcfnet.dcf.ks.gov/EES/Documents/EBT/Undelivered%20Card%20Process.pdf</w:t>
        </w:r>
      </w:hyperlink>
      <w:r w:rsidR="0077613B">
        <w:rPr>
          <w:rFonts w:eastAsia="Times New Roman"/>
          <w:color w:val="auto"/>
        </w:rPr>
        <w:t xml:space="preserve"> </w:t>
      </w:r>
    </w:p>
    <w:p w14:paraId="7A6F9845" w14:textId="2631848E" w:rsidR="0077613B" w:rsidRDefault="0077613B" w:rsidP="0077613B">
      <w:pPr>
        <w:rPr>
          <w:rFonts w:eastAsia="Times New Roman"/>
          <w:color w:val="auto"/>
        </w:rPr>
      </w:pPr>
    </w:p>
    <w:p w14:paraId="54B70E3B" w14:textId="0DA9D4B0" w:rsidR="0077613B" w:rsidRDefault="0077613B" w:rsidP="0077613B">
      <w:pPr>
        <w:rPr>
          <w:rFonts w:eastAsia="Times New Roman"/>
          <w:color w:val="auto"/>
        </w:rPr>
      </w:pPr>
    </w:p>
    <w:p w14:paraId="6DB3DDBE" w14:textId="77777777" w:rsidR="0077613B" w:rsidRPr="0077613B" w:rsidRDefault="0077613B" w:rsidP="0077613B">
      <w:pPr>
        <w:rPr>
          <w:rFonts w:eastAsia="Times New Roman"/>
          <w:b/>
          <w:bCs/>
          <w:color w:val="auto"/>
          <w:sz w:val="28"/>
          <w:szCs w:val="28"/>
        </w:rPr>
      </w:pPr>
    </w:p>
    <w:sectPr w:rsidR="0077613B" w:rsidRPr="007761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D243" w14:textId="77777777" w:rsidR="00B41E79" w:rsidRDefault="00B41E79" w:rsidP="00B41E79">
      <w:r>
        <w:separator/>
      </w:r>
    </w:p>
  </w:endnote>
  <w:endnote w:type="continuationSeparator" w:id="0">
    <w:p w14:paraId="57657495" w14:textId="77777777" w:rsidR="00B41E79" w:rsidRDefault="00B41E79" w:rsidP="00B4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BD79" w14:textId="77777777" w:rsidR="00B41E79" w:rsidRDefault="00B41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EC4A" w14:textId="77777777" w:rsidR="00B41E79" w:rsidRDefault="00B41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39DA" w14:textId="77777777" w:rsidR="00B41E79" w:rsidRDefault="00B41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2345" w14:textId="77777777" w:rsidR="00B41E79" w:rsidRDefault="00B41E79" w:rsidP="00B41E79">
      <w:r>
        <w:separator/>
      </w:r>
    </w:p>
  </w:footnote>
  <w:footnote w:type="continuationSeparator" w:id="0">
    <w:p w14:paraId="2EDD8B11" w14:textId="77777777" w:rsidR="00B41E79" w:rsidRDefault="00B41E79" w:rsidP="00B4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EB5A" w14:textId="77777777" w:rsidR="00B41E79" w:rsidRDefault="00B41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5163" w14:textId="29328B22" w:rsidR="00B41E79" w:rsidRDefault="00B41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A143" w14:textId="77777777" w:rsidR="00B41E79" w:rsidRDefault="00B41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0A1F"/>
    <w:multiLevelType w:val="hybridMultilevel"/>
    <w:tmpl w:val="B6381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FF8"/>
    <w:multiLevelType w:val="hybridMultilevel"/>
    <w:tmpl w:val="AE7C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1387"/>
    <w:multiLevelType w:val="hybridMultilevel"/>
    <w:tmpl w:val="E152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79AE"/>
    <w:multiLevelType w:val="hybridMultilevel"/>
    <w:tmpl w:val="89A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26801">
    <w:abstractNumId w:val="1"/>
  </w:num>
  <w:num w:numId="2" w16cid:durableId="1290936933">
    <w:abstractNumId w:val="3"/>
  </w:num>
  <w:num w:numId="3" w16cid:durableId="358969306">
    <w:abstractNumId w:val="0"/>
  </w:num>
  <w:num w:numId="4" w16cid:durableId="165945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26"/>
    <w:rsid w:val="000B1E2D"/>
    <w:rsid w:val="00103826"/>
    <w:rsid w:val="00152047"/>
    <w:rsid w:val="00186D27"/>
    <w:rsid w:val="00197C9F"/>
    <w:rsid w:val="00272C62"/>
    <w:rsid w:val="002F4889"/>
    <w:rsid w:val="003A2961"/>
    <w:rsid w:val="003F1534"/>
    <w:rsid w:val="00434616"/>
    <w:rsid w:val="0043549A"/>
    <w:rsid w:val="00442AC3"/>
    <w:rsid w:val="00443799"/>
    <w:rsid w:val="004530A8"/>
    <w:rsid w:val="004E380E"/>
    <w:rsid w:val="00521685"/>
    <w:rsid w:val="00590AD7"/>
    <w:rsid w:val="00591858"/>
    <w:rsid w:val="00610E1C"/>
    <w:rsid w:val="00645A87"/>
    <w:rsid w:val="006B1D8D"/>
    <w:rsid w:val="006E2B35"/>
    <w:rsid w:val="007000D0"/>
    <w:rsid w:val="0077613B"/>
    <w:rsid w:val="00781700"/>
    <w:rsid w:val="007C4A18"/>
    <w:rsid w:val="007E6CA2"/>
    <w:rsid w:val="00845FB8"/>
    <w:rsid w:val="00867862"/>
    <w:rsid w:val="008767B0"/>
    <w:rsid w:val="00894FC0"/>
    <w:rsid w:val="008C18CD"/>
    <w:rsid w:val="008E3CFD"/>
    <w:rsid w:val="009513AA"/>
    <w:rsid w:val="0097400C"/>
    <w:rsid w:val="00A02AE8"/>
    <w:rsid w:val="00A2220B"/>
    <w:rsid w:val="00A55987"/>
    <w:rsid w:val="00A6791D"/>
    <w:rsid w:val="00AC2B90"/>
    <w:rsid w:val="00B04DD2"/>
    <w:rsid w:val="00B41E79"/>
    <w:rsid w:val="00BA26B4"/>
    <w:rsid w:val="00BA5ABF"/>
    <w:rsid w:val="00CB4E8F"/>
    <w:rsid w:val="00D0309E"/>
    <w:rsid w:val="00D10135"/>
    <w:rsid w:val="00D2709B"/>
    <w:rsid w:val="00D66DF4"/>
    <w:rsid w:val="00D8375D"/>
    <w:rsid w:val="00E30E44"/>
    <w:rsid w:val="00E51AF2"/>
    <w:rsid w:val="00E62E1E"/>
    <w:rsid w:val="00EF65B2"/>
    <w:rsid w:val="00F31074"/>
    <w:rsid w:val="00F354D5"/>
    <w:rsid w:val="00F72ABD"/>
    <w:rsid w:val="00F92B01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BF4FF3"/>
  <w15:docId w15:val="{1DCF6894-12E8-4780-8ECC-1F431DAF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30E44"/>
    <w:pPr>
      <w:ind w:left="720"/>
      <w:contextualSpacing/>
    </w:pPr>
  </w:style>
  <w:style w:type="table" w:styleId="TableGrid">
    <w:name w:val="Table Grid"/>
    <w:basedOn w:val="TableNormal"/>
    <w:uiPriority w:val="59"/>
    <w:rsid w:val="00D6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61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1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E79"/>
    <w:rPr>
      <w:rFonts w:eastAsiaTheme="minorEastAs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E7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cfnet.dcf.ks.gov/EES/Documents/EBT/Undelivered%20Card%20Proces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nt.dcf.ks.gov/ees/KEESM/Policy_Memo/policy_memo_list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M\OneDrive%20-%20State%20of%20Kansas,%20OITS\Policy_Templates\EESPolicyMemo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08C0514193443B969E498EDCD163E" ma:contentTypeVersion="10" ma:contentTypeDescription="Create a new document." ma:contentTypeScope="" ma:versionID="07c1d9c559f18dcf4cfc2f86e08eb5bb">
  <xsd:schema xmlns:xsd="http://www.w3.org/2001/XMLSchema" xmlns:xs="http://www.w3.org/2001/XMLSchema" xmlns:p="http://schemas.microsoft.com/office/2006/metadata/properties" xmlns:ns3="e042c65b-6822-4bdf-9733-bffa9dec45cc" xmlns:ns4="3025815d-f379-4872-9bce-188468056e1a" targetNamespace="http://schemas.microsoft.com/office/2006/metadata/properties" ma:root="true" ma:fieldsID="ed3cac634d2816fb71c3c5648703b9f8" ns3:_="" ns4:_="">
    <xsd:import namespace="e042c65b-6822-4bdf-9733-bffa9dec45cc"/>
    <xsd:import namespace="3025815d-f379-4872-9bce-188468056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2c65b-6822-4bdf-9733-bffa9dec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815d-f379-4872-9bce-188468056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82CE-407C-4122-9E3B-5EDEDAFA0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2c65b-6822-4bdf-9733-bffa9dec45cc"/>
    <ds:schemaRef ds:uri="3025815d-f379-4872-9bce-188468056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498EE-3CEB-40EA-81EC-4785C8DBE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27715-DDEB-4137-A640-80257E4521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C2C16-ED13-404C-B504-8D3C52BC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EESPolicyMemoTemplate</Template>
  <TotalTime>395</TotalTime>
  <Pages>3</Pages>
  <Words>807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 Policy Memo</vt:lpstr>
    </vt:vector>
  </TitlesOfParts>
  <Company>SRS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 Policy Memo</dc:title>
  <dc:creator>Allen Mossman  [DCF]</dc:creator>
  <cp:lastModifiedBy>Sarah Van Straaten  [DCF]</cp:lastModifiedBy>
  <cp:revision>22</cp:revision>
  <dcterms:created xsi:type="dcterms:W3CDTF">2023-06-29T13:53:00Z</dcterms:created>
  <dcterms:modified xsi:type="dcterms:W3CDTF">2023-07-31T15:24:00Z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0x010100BA708C0514193443B969E498EDCD163E</vt:lpwstr>
  </property>
</Properties>
</file>